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71DB" w14:textId="0FEC8C6E" w:rsidR="00486E5B" w:rsidRDefault="00486E5B" w:rsidP="00131E57">
      <w:pPr>
        <w:spacing w:before="168"/>
        <w:jc w:val="both"/>
        <w:rPr>
          <w:sz w:val="28"/>
        </w:rPr>
      </w:pPr>
      <w:r>
        <w:rPr>
          <w:sz w:val="28"/>
        </w:rPr>
        <w:t> </w:t>
      </w:r>
    </w:p>
    <w:p w14:paraId="2E985159" w14:textId="77777777" w:rsidR="00131E57" w:rsidRDefault="00131E57" w:rsidP="00131E57">
      <w:pPr>
        <w:spacing w:before="168"/>
        <w:jc w:val="both"/>
      </w:pPr>
      <w:r>
        <w:rPr>
          <w:b/>
        </w:rPr>
        <w:t>Утверждены Методические указания по расчету размера платы за техническое обслуживание, установку и замену внутридомового и внутриквартирного газового оборудования</w:t>
      </w:r>
    </w:p>
    <w:p w14:paraId="247581F9" w14:textId="77777777" w:rsidR="00131E57" w:rsidRDefault="00131E57" w:rsidP="00131E57">
      <w:pPr>
        <w:spacing w:before="120" w:after="120"/>
        <w:ind w:left="120" w:right="120"/>
        <w:rPr>
          <w:sz w:val="17"/>
        </w:rPr>
      </w:pPr>
      <w:r>
        <w:rPr>
          <w:sz w:val="17"/>
        </w:rPr>
        <w:t> </w:t>
      </w:r>
    </w:p>
    <w:p w14:paraId="4B08019A" w14:textId="77777777" w:rsidR="00131E57" w:rsidRDefault="00131E57" w:rsidP="00131E57">
      <w:pPr>
        <w:spacing w:before="168"/>
        <w:jc w:val="both"/>
      </w:pPr>
      <w:r>
        <w:t>Методические указания определяют процедуру и порядок расчета размера платы за предусмотренные утвержденным Правительством минимальным перечнем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 техническое обслуживание, установку (за исключением случаев, предусмотренных правилами технологического присоединения газоиспользующего оборудования к газораспределительным сетям) и замену внутридомового и внутриквартирного газового оборудования, которая устанавливается в виде единых стандартизированных тарифных ставок.</w:t>
      </w:r>
    </w:p>
    <w:p w14:paraId="0D324A1D" w14:textId="77777777" w:rsidR="00131E57" w:rsidRDefault="00131E57" w:rsidP="00131E57">
      <w:pPr>
        <w:spacing w:before="168"/>
        <w:jc w:val="both"/>
      </w:pPr>
      <w:r>
        <w:t>Методические указания предназначены для использования специализированными организациями и исполнительными органами субъектов РФ в области государственного регулирования цен (тарифов).</w:t>
      </w:r>
    </w:p>
    <w:p w14:paraId="5D51F3DB" w14:textId="77777777" w:rsidR="00131E57" w:rsidRDefault="00131E57" w:rsidP="00131E57">
      <w:pPr>
        <w:spacing w:before="168"/>
        <w:jc w:val="both"/>
      </w:pPr>
      <w:r>
        <w:t>Настоящий приказ вступает в силу с 1 марта 2026 года и действует до 1 марта 2029 года.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11BA"/>
    <w:rsid w:val="0012209F"/>
    <w:rsid w:val="00131E57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86E5B"/>
    <w:rsid w:val="00490F12"/>
    <w:rsid w:val="004A2DCE"/>
    <w:rsid w:val="0050154A"/>
    <w:rsid w:val="00501AF0"/>
    <w:rsid w:val="00595E7A"/>
    <w:rsid w:val="005A6E40"/>
    <w:rsid w:val="006F6167"/>
    <w:rsid w:val="007077E1"/>
    <w:rsid w:val="00717C38"/>
    <w:rsid w:val="0076749C"/>
    <w:rsid w:val="007B05CD"/>
    <w:rsid w:val="00874DAF"/>
    <w:rsid w:val="008F0CA5"/>
    <w:rsid w:val="008F5AA1"/>
    <w:rsid w:val="009660B7"/>
    <w:rsid w:val="00A05718"/>
    <w:rsid w:val="00A20973"/>
    <w:rsid w:val="00A929EC"/>
    <w:rsid w:val="00AD294E"/>
    <w:rsid w:val="00C17544"/>
    <w:rsid w:val="00D376DA"/>
    <w:rsid w:val="00D470FE"/>
    <w:rsid w:val="00E24684"/>
    <w:rsid w:val="00E528B7"/>
    <w:rsid w:val="00ED0826"/>
    <w:rsid w:val="00F034CA"/>
    <w:rsid w:val="00F21F09"/>
    <w:rsid w:val="00F47744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33</cp:revision>
  <dcterms:created xsi:type="dcterms:W3CDTF">2026-03-20T04:11:00Z</dcterms:created>
  <dcterms:modified xsi:type="dcterms:W3CDTF">2026-03-20T10:03:00Z</dcterms:modified>
</cp:coreProperties>
</file>